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Geldabfindungen und Geldausgleiche müssen angemessen sein. Die Kapitalerträge sind unter Zugrundelegung des Wertes nach § 28, bei Bauflächen und Bauland sowie bei baulichen Anlagen nach § 29 festzusetzen. Sie können gegen Beiträge (§ 19) verrechnet werden.</w:t>
      </w:r>
    </w:p>
    <w:p>
      <w:r>
        <w:t xml:space="preserve">(2) Das infolge von Geldabfindungen und nach § 46 zur Abfindung der Teilnehmer nicht benötigte Land ist in einer dem Zweck der Flurbereinigung entsprechenden Weise oder für Siedlungszwecke zu verwenden. Durch den Flurbereinigungsplan wird bestimmt, wem das Land zu Eigentum zugeteilt wird. Für die Zuteilung gilt § 55 entsprechend.</w:t>
      </w:r>
    </w:p>
    <w:p>
      <w:r>
        <w:rPr>
          <w:color w:val="555555"/>
          <w:sz w:val="17"/>
        </w:rPr>
        <w:t xml:space="preserve">Zitiervorschlag: § 54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