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Wird ein Teilnehmer ganz oder teilweise in Geld abgefunden und ist er mit der Höhe der Geldabfindung einverstanden, so kann diese schon vor Ausführung des Flurbereinigungsplanes ausgezahlt werden, sobald das Verfügungsverbot (§ 52 Abs. 3) im Grundbuch eingetragen ist. Nach Auszahlung der Geldabfindung kann ihre Änderung nicht mehr verlangt werden.</w:t>
      </w:r>
    </w:p>
    <w:p>
      <w:r>
        <w:t xml:space="preserve">(2) Ist das Grundstück mit Rechten Dritter belastet, so ist die Abfindung dem Eigentümer nach Abzug des Wertes dieser Rechte auszuzahlen. Eine diesen Rechten zugrunde liegende persönliche Schuld des Eigentümers kann die Teilnehmergemeinschaft oder ein gemeinnütziges Siedlungsunternehmen übernehmen, ohne daß es der Genehmigung des Gläubigers bedarf. Die Übernahme wird mit der Anzeige an den Gläubiger wirksam. Bis zu diesem Zeitpunkt ist die Teilnehmergemeinschaft oder das Siedlungsunternehmen dem Eigentümer gegenüber verpflichtet, den Gläubiger rechtzeitig zu befriedigen.</w:t>
      </w:r>
    </w:p>
    <w:p>
      <w:r>
        <w:rPr>
          <w:color w:val="555555"/>
          <w:sz w:val="17"/>
        </w:rPr>
        <w:t xml:space="preserve">Zitiervorschlag: § 53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