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Ein vorübergehender Unterschied zwischen dem Wert der alten Grundstücke und dem Wert der Landabfindung sowie andere vorübergehende Nachteile einzelner Teilnehmer, die das Maß der den übrigen Teilnehmern entstehenden gleichartigen Nachteile erheblich übersteigen, sind durch Geld oder in anderer Art auszugleichen.</w:t>
      </w:r>
    </w:p>
    <w:p>
      <w:r>
        <w:t xml:space="preserve">(2) Die Teilnehmergemeinschaft kann Erstattung der von ihr geleisteten Ausgleichszahlung von dem, der dadurch Vorteile hat, nach dem Verhältnis seines Vorteiles verlangen.</w:t>
      </w:r>
    </w:p>
    <w:p>
      <w:r>
        <w:rPr>
          <w:color w:val="555555"/>
          <w:sz w:val="17"/>
        </w:rPr>
        <w:t xml:space="preserve">Zitiervorschlag: § 51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