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Obstbäume, Beerensträucher, Rebstöcke, Hopfenstöcke, Bodenaltertümer, Kulturdenkmale sowie Bäume, Feldgehölze und Hecken, deren Erhaltung aus Gründen des Naturschutzes und der Landschaftspflege oder aus anderen Gründen geboten ist, hat der Empfänger der Landabfindung zu übernehmen.</w:t>
      </w:r>
    </w:p>
    <w:p>
      <w:r>
        <w:t xml:space="preserve">(2) Für die in Absatz 1 genannten Holzpflanzen hat die Teilnehmergemeinschaft den bisherigen Eigentümer in Geld abzufinden; sie kann von dem Empfänger der Landabfindung angemessene Erstattung verlangen. Mit Zustimmung der Flurbereinigungsbehörde können die Teilnehmer anderes vereinbaren. Für unfruchtbare, unveredelte, noch verpflanzbare oder abgängige Obstbäume, für verpflanzbare oder abgängige Beerensträucher, Rebstöcke, Hopfenstöcke und für andere als die in Absatz 1 genannten Bäume wird keine Geldabfindung gegeben; der bisherige Eigentümer kann sie entfernen. Als abgängig gelten auch Rebstöcke und Hopfenstöcke, die nach anderen gesetzlichen Vorschriften zu beseitigen sind; die Vorschriften über die Entschädigung nach diesen Gesetzen bleiben unberührt.</w:t>
      </w:r>
    </w:p>
    <w:p>
      <w:r>
        <w:t xml:space="preserve">(3) Die Länder können bestimmen, daß Obstbäume, Beerensträucher oder Rebstöcke zu entfernen sind, wenn Bodenverbesserungen oder andere ertragsfördernde Maßnahmen, z.B. Rebenneuaufbau, sonst nicht zweckmäßig durchgeführt werden können.</w:t>
      </w:r>
    </w:p>
    <w:p>
      <w:r>
        <w:t xml:space="preserve">(4) Für andere nicht unter Absatz 1 fallende wesentliche Bestandteile von Grundstücken, insbesondere für Gebäude, ist, soweit erforderlich, der bisherige Eigentümer oder der sonst Berechtigte gesondert abzufinden.</w:t>
      </w:r>
    </w:p>
    <w:p>
      <w:r>
        <w:rPr>
          <w:color w:val="555555"/>
          <w:sz w:val="17"/>
        </w:rPr>
        <w:t xml:space="preserve">Zitiervorschlag: § 50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