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der Anordnung der Flurbereinigung sind die voraussichtlich beteiligten Grundstückseigentümer in geeigneter Weise eingehend über das geplante Flurbereinigungsverfahren einschließlich der voraussichtlich entstehenden Kosten aufzuklären.</w:t>
      </w:r>
    </w:p>
    <w:p>
      <w:r>
        <w:t xml:space="preserve">(2) Die landwirtschaftliche Berufsvertretung, die zuständige Landesplanungsbehörde, die Gemeinde und der Gemeindeverband sowie die übrigen von der für die Landwirtschaft zuständigen obersten Landesbehörde zu bestimmenden Organisationen und Behörden sollen gehört werden.</w:t>
      </w:r>
    </w:p>
    <w:p>
      <w:r>
        <w:t xml:space="preserve">(3) Die Behörden des Bundes, der Länder, der Gemeinden und Gemeindeverbände sowie andere Körperschaften des öffentlichen Rechts sollen über das geplante Flurbereinigungsverfahren unterrichtet werden; sie haben der Flurbereinigungsbehörde unverzüglich mitzuteilen, ob und welche das voraussichtliche Flurbereinigungsgebiet berührenden Planungen beabsichtigt sind oder bereits feststehen.</w:t>
      </w:r>
    </w:p>
    <w:p>
      <w:r>
        <w:rPr>
          <w:color w:val="555555"/>
          <w:sz w:val="17"/>
        </w:rPr>
        <w:t xml:space="preserve">Zitiervorschlag: § 5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