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Wenn es der Zweck der Flurbereinigung erfordert, können Dienstbarkeiten, Reallasten und Erwerbsrechte an einem Grundstück sowie persönliche Rechte, die zum Besitz oder zur Nutzung eines Grundstücks berechtigen oder die Benutzung eines Grundstücks beschränken, aufgehoben werden. Für Rechte, die durch die Flurbereinigung entbehrlich werden, wird eine Abfindung nicht gewährt. Werden in Satz 1 genannte Rechte, die nicht entbehrlich werden, aufgehoben, sind die Berechtigten entweder in Land, durch gleichartige Rechte oder mit ihrer Zustimmung in Geld abzufinden. Bei der Abfindung in Land oder durch gleichartige Rechte gilt § 44 Abs. 3 Satz 2, bei der Abfindung in Geld gelten die §§ 52 bis 54 entsprechend. Soweit die Abfindung in Land oder durch gleichartige Rechte unmöglich oder mit dem Zweck der Flurbereinigung nicht vereinbar ist, sind die Berechtigten in Geld abzufinden.</w:t>
      </w:r>
    </w:p>
    <w:p>
      <w:r>
        <w:t xml:space="preserve">(2) Ein in Absatz 1 Satz 1 bezeichnetes Recht ist auf Antrag des Berechtigten aufzuheben, wenn es bei Übergang auf die Landabfindung an dieser nicht mehr in dem bisherigen Umfange ausgeübt werden könnte. Absatz 1 Satz 3 bis 5 gilt entsprechend.</w:t>
      </w:r>
    </w:p>
    <w:p>
      <w:r>
        <w:t xml:space="preserve">(3) Die aus dem Bestehen eines aufzuhebenden Rechts folgende Minderung des Wertes des alten Grundstücks ist bei der Abfindung des Teilnehmers nur zu berücksichtigen, wenn sie erheblich ist.</w:t>
      </w:r>
    </w:p>
    <w:p>
      <w:r>
        <w:rPr>
          <w:color w:val="555555"/>
          <w:sz w:val="17"/>
        </w:rPr>
        <w:t xml:space="preserve">Zitiervorschlag: § 49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