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Flurbereinigungsgebiet gehörende Grundstücke, die nach altem Herkommen in gemeinschaftlichem Eigentum stehen, können geteilt werden.</w:t>
      </w:r>
    </w:p>
    <w:p>
      <w:r>
        <w:t xml:space="preserve">(2) Wenn es dem Zweck der Flurbereinigung dient und die Eigentümer zustimmen, kann gemeinschaftliches Eigentum an Grundstücken auch in anderen Fällen geteilt oder in der Form von Miteigentum neu gebildet werden.</w:t>
      </w:r>
    </w:p>
    <w:p>
      <w:r>
        <w:rPr>
          <w:color w:val="555555"/>
          <w:sz w:val="17"/>
        </w:rPr>
        <w:t xml:space="preserve">Zitiervorschlag: § 48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