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Zweck der Flurbereinigung es erfordert, können verändert werden:</w:t>
      </w:r>
    </w:p>
    <w:p>
      <w:pPr>
        <w:ind w:left="420"/>
      </w:pPr>
      <w:r>
        <w:t xml:space="preserve">1. Hof- und Gebäudeflächen;</w:t>
      </w:r>
    </w:p>
    <w:p>
      <w:pPr>
        <w:ind w:left="420"/>
      </w:pPr>
      <w:r>
        <w:t xml:space="preserve">2. Parkanlagen;</w:t>
      </w:r>
    </w:p>
    <w:p>
      <w:pPr>
        <w:ind w:left="420"/>
      </w:pPr>
      <w:r>
        <w:t xml:space="preserve">3. Naturdenkmale, Naturschutzgebiete sowie geschützte Landschaftsteile und geschützte Landschaftsbestandteile;</w:t>
      </w:r>
    </w:p>
    <w:p>
      <w:pPr>
        <w:ind w:left="420"/>
      </w:pPr>
      <w:r>
        <w:t xml:space="preserve">4. Seen, Fischteiche und Fischzuchtanstalten;</w:t>
      </w:r>
    </w:p>
    <w:p>
      <w:pPr>
        <w:ind w:left="420"/>
      </w:pPr>
      <w:r>
        <w:t xml:space="preserve">5. Gewässer, die einem gewerblichen Betrieb dienen;</w:t>
      </w:r>
    </w:p>
    <w:p>
      <w:pPr>
        <w:ind w:left="420"/>
      </w:pPr>
      <w:r>
        <w:t xml:space="preserve">6. Sportanlagen;</w:t>
      </w:r>
    </w:p>
    <w:p>
      <w:pPr>
        <w:ind w:left="420"/>
      </w:pPr>
      <w:r>
        <w:t xml:space="preserve">7. Gärtnereien;</w:t>
      </w:r>
    </w:p>
    <w:p>
      <w:pPr>
        <w:ind w:left="420"/>
      </w:pPr>
      <w:r>
        <w:t xml:space="preserve">8. Friedhöfe, einzelne Grabstätten und Denkmale;</w:t>
      </w:r>
    </w:p>
    <w:p>
      <w:pPr>
        <w:ind w:left="420"/>
      </w:pPr>
      <w:r>
        <w:t xml:space="preserve">9. Anlagen, die dem öffentlichen Verkehr, dem Hochwasserschutz, der öffentlichen Wasser- und Energieversorgung sowie der Abwasserverwertung oder -beseitigung dienen;</w:t>
      </w:r>
    </w:p>
    <w:p>
      <w:pPr>
        <w:ind w:left="420"/>
      </w:pPr>
      <w:r>
        <w:t xml:space="preserve">10. Sol- und Mineralquellen mit den dazugehörenden Grundstücken;</w:t>
      </w:r>
    </w:p>
    <w:p>
      <w:pPr>
        <w:ind w:left="420"/>
      </w:pPr>
      <w:r>
        <w:t xml:space="preserve">11. Gewerbliche Anlagen zur Gewinnung von Bodenbestandteilen, sofern sie dauernd in Betrieb sind, und Lagerstätten von Bodenschätzen, die der Aufsicht der Bergbehörde unterliegen.</w:t>
      </w:r>
    </w:p>
    <w:p>
      <w:r>
        <w:t xml:space="preserve">In den Fällen der Nummern 9 bis 11 ist die Zustimmung der Eigentümer erforderlich. Sie ist in den Fällen der Nummer 9 nicht erforderlich, sofern es sich um Anlagen handelt, die einem gemeinschaftlichen Interesse im Sinne des § 39 Abs. 1 dienen.</w:t>
      </w:r>
    </w:p>
    <w:p>
      <w:r>
        <w:t xml:space="preserve">(2) Wenn der Zweck der Flurbereinigung in anderer Weise nicht erreicht werden kann, können die in Absatz 1 Nr. 1 bis 8 bezeichneten Grundstücke verlegt oder einem anderen gegeben werden. Bei Wohngebäuden und in den Fällen der Nummern 2, 7 und 8 ist jedoch die Zustimmung der Eigentümer, bei Friedhöfen auch die Zustimmung der beteiligten Kirchen erforderlich.</w:t>
      </w:r>
    </w:p>
    <w:p>
      <w:r>
        <w:t xml:space="preserve">(3) Zu wesentlichen Eingriffen in den Bestand von Naturdenkmalen, Naturschutzgebieten sowie geschützten Landschaftsteilen und geschützten Landschaftsbestandteilen ist auch die vorherige Zustimmung der für den Naturschutz und die Landschaftspflege zuständigen Behörde erforderlich.</w:t>
      </w:r>
    </w:p>
    <w:p>
      <w:r>
        <w:rPr>
          <w:color w:val="555555"/>
          <w:sz w:val="17"/>
        </w:rPr>
        <w:t xml:space="preserve">Zitiervorschlag: § 45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