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Teilnehmergemeinschaft hat die gemeinschaftlichen Anlagen, soweit nicht ein anderer den Ausbau übernimmt, herzustellen und bis zur Übergabe an die Unterhaltungspflichtigen zu unterhalten, soweit nicht gesetzliche Vorschriften anderes bestimmen. Die Anlagen können schon vor der Ausführung des Flurbereinigungsplanes gebaut werden, soweit der Wege- und Gewässerplan mit landschaftspflegerischem Begleitplan für sie festgestellt ist.</w:t>
      </w:r>
    </w:p>
    <w:p>
      <w:r>
        <w:t xml:space="preserve">(2) Die gemeinschaftlichen Anlagen werden durch den Flurbereinigungsplan der Teilnehmergemeinschaft zu Eigentum zugeteilt und sind von ihr zu unterhalten, soweit nicht der Flurbereinigungsplan oder gesetzliche Vorschriften anderes bestimmen. Sie können der Gemeinde zugeteilt werden, wenn diese zustimmt. Die Länder können eine abweichende Regelung treffen.</w:t>
      </w:r>
    </w:p>
    <w:p>
      <w:r>
        <w:t xml:space="preserve">(3) Eigentümern von Grundstücken, die nicht zum Flurbereinigungsgebiet gehören, aber durch Anlagen wesentliche Vorteile haben, kann durch den Flurbereinigungsplan ein den Vorteilen entsprechender Anteil an den Kosten der Unterhaltung solcher Anlagen auferlegt werden. Der Kostenanteil ist an den Unterhaltungspflichtigen zu zahlen. Er haftet als öffentliche Last auf den Grundstücken, für die er festgesetzt ist.</w:t>
      </w:r>
    </w:p>
    <w:p>
      <w:r>
        <w:rPr>
          <w:color w:val="555555"/>
          <w:sz w:val="17"/>
        </w:rPr>
        <w:t xml:space="preserve">Zitiervorschlag: § 42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