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Flurbereinigungsgebiet sind Wege, Straßen, Gewässer und andere zur gemeinschaftlichen Benutzung oder einem gemeinschaftlichen Interesse dienende Anlagen zu schaffen, soweit es der Zweck der Flurbereinigung erfordert. Sie sind gemeinschaftliche Anlagen.</w:t>
      </w:r>
    </w:p>
    <w:p>
      <w:r>
        <w:t xml:space="preserve">(2) Vorhandene Anlagen können geändert, verlegt oder eingezogen werden.</w:t>
      </w:r>
    </w:p>
    <w:p>
      <w:r>
        <w:rPr>
          <w:color w:val="555555"/>
          <w:sz w:val="17"/>
        </w:rPr>
        <w:t xml:space="preserve">Zitiervorschlag: § 39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