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Beauftragten der Flurbereinigungsbehörde sind berechtigt, zur Vorbereitung und zur Durchführung der Flurbereinigung Grundstücke zu betreten und die nach ihrem Ermessen erforderlichen Arbeiten auf ihnen vorzunehmen.</w:t>
      </w:r>
    </w:p>
    <w:p>
      <w:r>
        <w:t xml:space="preserve">(2) Soweit der hierdurch verursachte Schaden den Durchschnitt erheblich übersteigt, hat die Flurbereinigungsbehörde eine angemessene Entschädigung festzusetzen. Die Entschädigung trägt die Teilnehmergemeinschaft; falls die Flurbereinigung nicht angeordnet wird, trägt sie das Land.</w:t>
      </w:r>
    </w:p>
    <w:p>
      <w:r>
        <w:rPr>
          <w:color w:val="555555"/>
          <w:sz w:val="17"/>
        </w:rPr>
        <w:t xml:space="preserve">Zitiervorschlag: § 35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