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Von der Bekanntgabe des Flurbereinigungsbeschlusses bis zur Unanfechtbarkeit des Flurbereinigungsplanes gelten folgende Einschränkungen:</w:t>
      </w:r>
    </w:p>
    <w:p>
      <w:pPr>
        <w:ind w:left="420"/>
      </w:pPr>
      <w:r>
        <w:t xml:space="preserve">1. In der Nutzungsart der Grundstücke dürfen ohne Zustimmung der Flurbereinigungsbehörde nur Änderungen vorgenommen werden, die zum ordnungsmäßigen Wirtschaftsbetrieb gehören.</w:t>
      </w:r>
    </w:p>
    <w:p>
      <w:pPr>
        <w:ind w:left="420"/>
      </w:pPr>
      <w:r>
        <w:t xml:space="preserve">2. Bauwerke, Brunnen, Gräben, Einfriedungen, Hangterrassen und ähnliche Anlagen dürfen nur mit Zustimmung der Flurbereinigungsbehörde errichtet, hergestellt, wesentlich verändert oder beseitigt werden.</w:t>
      </w:r>
    </w:p>
    <w:p>
      <w:pPr>
        <w:ind w:left="420"/>
      </w:pPr>
      <w:r>
        <w:t xml:space="preserve">3. Obstbäume, Beerensträucher, Rebstöcke, Hopfenstöcke, einzelne Bäume, Hecken, Feld- und Ufergehölze dürfen nur in Ausnahmefällen, soweit landeskulturelle Belange, insbesondere des Naturschutzes und der Landschaftspflege, nicht beeinträchtigt werden, mit Zustimmung der Flurbereinigungsbehörde beseitigt werden. Andere gesetzliche Vorschriften über die Beseitigung von Rebstöcken und Hopfenstöcken bleiben unberührt.</w:t>
      </w:r>
    </w:p>
    <w:p>
      <w:r>
        <w:t xml:space="preserve">(2) Sind entgegen den Vorschriften des Absatzes 1 Nr. 1 und 2 Änderungen vorgenommen oder Anlagen hergestellt oder beseitigt worden, so können sie im Flurbereinigungsverfahren unberücksichtigt bleiben. Die Flurbereinigungsbehörde kann den früheren Zustand gemäß § 137 wiederherstellen lassen, wenn dies der Flurbereinigung dienlich ist.</w:t>
      </w:r>
    </w:p>
    <w:p>
      <w:r>
        <w:t xml:space="preserve">(3) Sind Eingriffe entgegen der Vorschrift des Absatzes 1 Nr. 3 vorgenommen worden, so muß die Flurbereinigungsbehörde Ersatzpflanzungen anordnen.</w:t>
      </w:r>
    </w:p>
    <w:p>
      <w:r>
        <w:t xml:space="preserve">(4) Das Erfordernis der Zustimmung und die Folgen seiner Nichtbeachtung sind öffentlich bekanntzumachen.</w:t>
      </w:r>
    </w:p>
    <w:p>
      <w:r>
        <w:t xml:space="preserve">(5) Ist die Bekanntmachung nach Absatz 4 nicht gemäß § 6 Abs. 1 in den entscheidenden Teil des Flurbereinigungsbeschlusses aufgenommen worden, so treten die Rechtswirkungen gemäß den Absätzen 1 bis 3 erst mit der besonderen Bekanntmachung gemäß Absatz 4 ein.</w:t>
      </w:r>
    </w:p>
    <w:p>
      <w:r>
        <w:rPr>
          <w:color w:val="555555"/>
          <w:sz w:val="17"/>
        </w:rPr>
        <w:t xml:space="preserve">Zitiervorschlag: § 34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