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Die Wertermittlung wird in der Regel durch landwirtschaftliche Sachverständige vorgenommen. Die Flurbereinigungsbehörde bestimmt die Zahl der Sachverständigen, wählt sie nach Anhörung des Vorstandes der Teilnehmergemeinschaft aus der von der oberen Flurbereinigungsbehörde im Einvernehmen mit der landwirtschaftlichen Berufsvertretung aufgestellten Liste der als Sachverständige geeigneten Personen aus und leitet die Wertermittlung. Der Vorstand soll der Wertermittlung beiwohnen.</w:t>
      </w:r>
    </w:p>
    <w:p>
      <w:r>
        <w:t xml:space="preserve">(2) Sind zu einer Wertermittlung Kenntnisse erforderlich, die über die allgemeine landwirtschaftliche Sachkunde hinausgehen, so sind besondere anerkannte Sachverständige beizuziehen.</w:t>
      </w:r>
    </w:p>
    <w:p>
      <w:r>
        <w:rPr>
          <w:color w:val="555555"/>
          <w:sz w:val="17"/>
        </w:rPr>
        <w:t xml:space="preserve">Zitiervorschlag: § 31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https://recht.nulegal.eu/gesetze/FlurbG/31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