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Wertermittlung für Bauflächen und Bauland sowie für bauliche Anlagen hat auf der Grundlage des Verkehrswertes zu erfolgen.</w:t>
      </w:r>
    </w:p>
    <w:p>
      <w:r>
        <w:t xml:space="preserve">(2) Der Verkehrswert wird durch den Preis bestimmt, der in dem Zeitpunkt, auf den sich die Ermittlung bezieht, im gewöhnlichen Geschäftsverkehr nach den Eigenschaften, der sonstigen Beschaffenheit und der Lage des Grundstücks ohne Rücksicht auf ungewöhnliche oder persönliche Verhältnisse zu erzielen wäre; Wertänderungen an baulichen Anlagen, die durch die Aussicht auf die Durchführung der Flurbereinigung entstanden sind, bleiben außer Betracht.</w:t>
      </w:r>
    </w:p>
    <w:p>
      <w:r>
        <w:t xml:space="preserve">(3) Bei bebauten Grundstücken ist der Verkehrswert des Bodenanteils und der Bauteile getrennt zu ermitteln, wenn dies auf Grund von Vergleichspreisen möglich ist; die Verkehrswerte sind gesondert anzugeben.</w:t>
      </w:r>
    </w:p>
    <w:p>
      <w:r>
        <w:t xml:space="preserve">(4) Die Ermittlung des Verkehrswertes der baulichen Anlagen soll nur dann vorgenommen werden, wenn die baulichen Anlagen einem neuen Eigentümer zugeteilt werden.</w:t>
      </w:r>
    </w:p>
    <w:p>
      <w:r>
        <w:rPr>
          <w:color w:val="555555"/>
          <w:sz w:val="17"/>
        </w:rPr>
        <w:t xml:space="preserve">Zitiervorschlag: § 29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