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26c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Ist für ein bestimmtes Gebiet die Durchführung einer Flurbereinigung zu erwarten, so kann die obere Flurbereinigungsbehörde einen Verband oder, soweit ein solcher nicht besteht, eine andere geeignete Stelle beauftragen, bereits vor der Anordnung der Flurbereinigung Vorarbeiten zu übernehmen sowie für Zwecke der Flurbereinigung Grundstücke zu erwerben oder zu pachten.</w:t>
      </w:r>
    </w:p>
    <w:p>
      <w:r>
        <w:t xml:space="preserve">(2) Wird das Flurbereinigungsverfahren nicht durchgeführt, so sorgt die Aufsichtsbehörde für eine ordnungsgemäße Abwicklung der vom Verband vorgenommenen Geschäfte. § 9 Abs. 2 gilt entsprechend.</w:t>
      </w:r>
    </w:p>
    <w:p>
      <w:r>
        <w:rPr>
          <w:color w:val="555555"/>
          <w:sz w:val="17"/>
        </w:rPr>
        <w:t xml:space="preserve">Zitiervorschlag: § 26c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