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Der Verband hat einen Vorstand, der von der Mitgliederversammlung mit der Mehrheit der abgegebenen Stimmen gewählt wird. Die Zahl der Vorstandsmitglieder wird durch die obere Flurbereinigungsbehörde bestimmt. Kommt eine Wahl nicht zustande und verspricht ein neuer Wahltermin keinen Erfolg, so kann die obere Flurbereinigungsbehörde Mitglieder des Vorstandes nach Anhörung der landwirtschaftlichen Berufsvertretung bestellen.</w:t>
      </w:r>
    </w:p>
    <w:p>
      <w:r>
        <w:t xml:space="preserve">(2) Der Verband kann zur Erfüllung seiner Aufgaben die ihm angehörenden Teilnehmergemeinschaften zu Beiträgen heranziehen; ihm kann durch die Satzung das Recht übertragen werden, die nach § 19 beitragspflichtigen einzelnen Teilnehmer unmittelbar zur Leistung der Beiträge heranzuziehen. In diesem Falle ist dem Verband durch die Satzung die Kassen- und Buchführung mit voller Verantwortung zu übertragen.</w:t>
      </w:r>
    </w:p>
    <w:p>
      <w:r>
        <w:t xml:space="preserve">(3) § 21 Abs. 7 und die §§ 24 bis 26 gelten entsprechend.</w:t>
      </w:r>
    </w:p>
    <w:p>
      <w:r>
        <w:rPr>
          <w:color w:val="555555"/>
          <w:sz w:val="17"/>
        </w:rPr>
        <w:t xml:space="preserve">Zitiervorschlag: § 26b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