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Der Vorstand wählt eines seiner Mitglieder zum Vorsitzenden und ein weiteres Mitglied zum Stellvertreter des Vorsitzenden, soweit nicht nach § 21 Abs. 7 eine abweichende Regelung erfolgt ist.</w:t>
      </w:r>
    </w:p>
    <w:p>
      <w:r>
        <w:t xml:space="preserve">(2) Der Vorstand ist beschlußfähig, wenn er von seinem Vorsitzenden oder der Flurbereinigungsbehörde einberufen und mindestens die Hälfte der Mitglieder oder ihrer Stellvertreter anwesend ist. Er faßt seine Beschlüsse mit der Mehrheit der anwesenden Mitglieder; bei Stimmengleichheit gibt die Stimme des Vorsitzenden den Ausschlag.</w:t>
      </w:r>
    </w:p>
    <w:p>
      <w:r>
        <w:t xml:space="preserve">(3) Der Vorsitzende führt die Vorstandsbeschlüsse aus und vertritt die Teilnehmergemeinschaft gerichtlich und außergerichtlich.</w:t>
      </w:r>
    </w:p>
    <w:p>
      <w:r>
        <w:rPr>
          <w:color w:val="555555"/>
          <w:sz w:val="17"/>
        </w:rPr>
        <w:t xml:space="preserve">Zitiervorschlag: § 26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