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Vorstand führt die Geschäfte der Teilnehmergemeinschaft. Ihm obliegt auch die Ausführung der Aufgaben, die der Teilnehmergemeinschaft gemäß der Vorschrift in § 18 Abs. 2 übertragen worden sind.</w:t>
      </w:r>
    </w:p>
    <w:p>
      <w:r>
        <w:t xml:space="preserve">(2) Der Vorstand ist von der Flurbereinigungsbehörde über den Fortschritt der Flurbereinigungsarbeiten laufend zu unterrichten, zu wichtigen gemeinschaftlichen Angelegenheiten zu hören und zur Mitarbeit heranzuziehen.</w:t>
      </w:r>
    </w:p>
    <w:p>
      <w:r>
        <w:rPr>
          <w:color w:val="555555"/>
          <w:sz w:val="17"/>
        </w:rPr>
        <w:t xml:space="preserve">Zitiervorschlag: § 25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