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Teilnehmergemeinschaft hat einen aus mehreren Mitgliedern bestehenden Vorstand. Die Flurbereinigungsbehörde bestimmt die Zahl der Mitglieder.</w:t>
      </w:r>
    </w:p>
    <w:p>
      <w:r>
        <w:t xml:space="preserve">(2) Die Flurbereinigungsbehörde lädt die Teilnehmer zum Wahltermin durch öffentliche Bekanntmachung ein und leitet die Wahl.</w:t>
      </w:r>
    </w:p>
    <w:p>
      <w:r>
        <w:t xml:space="preserve">(3) Die Mitglieder des Vorstandes werden von den im Wahltermin anwesenden Teilnehmern oder Bevollmächtigten gewählt. Jeder Teilnehmer oder Bevollmächtigte hat eine Stimme; gemeinschaftliche Eigentümer gelten als ein Teilnehmer. Gewählt sind diejenigen, welche die meisten Stimmen erhalten.</w:t>
      </w:r>
    </w:p>
    <w:p>
      <w:r>
        <w:t xml:space="preserve">(4) Soweit die Wahl im Termin nicht zustande kommt und ein neuer Wahltermin keinen Erfolg verspricht, kann die Flurbereinigungsbehörde Mitglieder des Vorstandes nach Anhörung der landwirtschaftlichen Berufsvertretung bestellen.</w:t>
      </w:r>
    </w:p>
    <w:p>
      <w:r>
        <w:t xml:space="preserve">(5) Für jedes Mitglied des Vorstandes ist ein Stellvertreter zu wählen oder zu bestellen.</w:t>
      </w:r>
    </w:p>
    <w:p>
      <w:r>
        <w:t xml:space="preserve">(6) Bei erheblichen Änderungen des Flurbereinigungsgebietes (§ 8 Abs. 2) bestimmt die Flurbereinigungsbehörde, ob und inwieweit Vorstandsmitglieder und Stellvertreter abberufen oder neu gewählt (bestellt) werden sollen.</w:t>
      </w:r>
    </w:p>
    <w:p>
      <w:r>
        <w:t xml:space="preserve">(7) Die Länder können die Bildung und Zusammensetzung des Vorstandes abweichend regeln und Wahlperioden einführen.</w:t>
      </w:r>
    </w:p>
    <w:p>
      <w:r>
        <w:rPr>
          <w:color w:val="555555"/>
          <w:sz w:val="17"/>
        </w:rPr>
        <w:t xml:space="preserve">Zitiervorschlag: § 21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