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157 FlurbG</w:t>
      </w:r>
    </w:p>
    <w:p>
      <w:r>
        <w:rPr>
          <w:color w:val="555555"/>
          <w:sz w:val="18"/>
        </w:rPr>
        <w:t xml:space="preserve">Flurbereinigungsgesetz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Werden Grundstücke in ein Flurbereinigungs- oder Zusammenlegungsgebiet eines benachbarten Landes einbezogen (§ 3 Abs. 3 Satz 2), so gelten die auf Grund von Ermächtigungen dieses Gesetzes ergangenen Vorschriften des Landes auch für die genannten Grundstücke.</w:t>
      </w:r>
    </w:p>
    <w:p>
      <w:r>
        <w:rPr>
          <w:color w:val="555555"/>
          <w:sz w:val="17"/>
        </w:rPr>
        <w:t xml:space="preserve">Zitiervorschlag: § 157 FlurbG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https://recht.nulegal.eu/gesetze/FlurbG/157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