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155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</w:t>
      </w:r>
    </w:p>
    <w:p>
      <w:r>
        <w:t xml:space="preserve">(2) Soweit in Gesetzen und Verordnungen des Bundes und der Länder auf Vorschriften des Umlegungsgesetzes, der Reichsumlegungsordnung sowie der Ersten und Zweiten Verordnung zur Reichsumlegungsordnung sowie sonstiger nach Absatz 1 aufgehobener Vorschriften verwiesen ist, gilt dies als Verweisung auf die entsprechenden Vorschriften dieses Gesetzes.</w:t>
      </w:r>
    </w:p>
    <w:p>
      <w:r>
        <w:rPr>
          <w:color w:val="555555"/>
          <w:sz w:val="17"/>
        </w:rPr>
        <w:t xml:space="preserve">Zitiervorschlag: § 155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