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154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den Vorschriften des § 34 Abs. 1 Nr. 2 und 3 oder des § 85 Nr. 5 zuwiderhandelt.</w:t>
      </w:r>
    </w:p>
    <w:p>
      <w:r>
        <w:t xml:space="preserve">(2) Die Ordnungswidrigkeit kann mit einer Geldbuße geahndet werden.</w:t>
      </w:r>
    </w:p>
    <w:p>
      <w:r>
        <w:t xml:space="preserve">(3) Gegenstände, auf die sich die Ordnungswidrigkeit bezieht, können eingezogen werden.</w:t>
      </w:r>
    </w:p>
    <w:p>
      <w:r>
        <w:rPr>
          <w:color w:val="555555"/>
          <w:sz w:val="17"/>
        </w:rPr>
        <w:t xml:space="preserve">Zitiervorschlag: § 154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