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Flurbereinigungsbehörde hat die Teilnehmergemeinschaft aufzulösen, wenn ihre Aufgaben erfüllt sind. Dies gilt sinngemäß für die Gemeindeaufsichtsbehörde, soweit auf sie die Aufsichtsbefugnisse der Flurbereinigungsbehörde übergegangen sind (§ 151 Satz 2 zweiter Halbsatz). Die Auflösung ist öffentlich bekanntzumachen.</w:t>
      </w:r>
    </w:p>
    <w:p>
      <w:r>
        <w:t xml:space="preserve">(2) Die nach dem Bayerischen Flurbereinigungsgesetz in der Fassung vom 11. Februar 1932 (Gesetz- und Verordnungsblatt für den Freistaat Bayern S. 73), zuletzt geändert durch das Gesetz zur Ausführung des Flurbereinigungsgesetzes vom 11. August 1954 (Bayerisches Gesetz- und Verordnungsblatt S. 165), noch bestehenden Flurbereinigungsgenossenschaften können durch Beschluß des Vorstandes aufgelöst werden, wenn das Unternehmen abgeschlossen ist und ihre Aufgaben erfüllt sind.</w:t>
      </w:r>
    </w:p>
    <w:p>
      <w:r>
        <w:rPr>
          <w:color w:val="555555"/>
          <w:sz w:val="17"/>
        </w:rPr>
        <w:t xml:space="preserve">Zitiervorschlag: § 153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