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Gemeinde oder ihrer Aufsichtsbehörde sind zur Aufbewahrung zu übersenden:</w:t>
      </w:r>
    </w:p>
    <w:p>
      <w:pPr>
        <w:ind w:left="420"/>
      </w:pPr>
      <w:r>
        <w:t xml:space="preserve">1. eine Ausfertigung der die neue Feldeinteilung nachweisenden Karte;</w:t>
      </w:r>
    </w:p>
    <w:p>
      <w:pPr>
        <w:ind w:left="420"/>
      </w:pPr>
      <w:r>
        <w:t xml:space="preserve">2. ein Verzeichnis der neuen Grundstücke und der gemeinschaftlichen und öffentlichen Anlagen mit Kartenbezeichnung und Größe;</w:t>
      </w:r>
    </w:p>
    <w:p>
      <w:pPr>
        <w:ind w:left="420"/>
      </w:pPr>
      <w:r>
        <w:t xml:space="preserve">3. eine Zusammenstellung der Bestimmungen des Flurbereinigungsplanes, die dauernd von allgemeiner Bedeutung und nicht in das Grundbuch oder in andere öffentliche Bücher übernommen sind;</w:t>
      </w:r>
    </w:p>
    <w:p>
      <w:pPr>
        <w:ind w:left="420"/>
      </w:pPr>
      <w:r>
        <w:t xml:space="preserve">4. eine Abschrift der Schlußfeststellung.</w:t>
      </w:r>
    </w:p>
    <w:p>
      <w:r>
        <w:t xml:space="preserve">Erstreckt sich das Flurbereinigungsgebiet auf mehrere Gemeinden, so bestimmt die Flurbereinigungsbehörde die Gemeinde.</w:t>
      </w:r>
    </w:p>
    <w:p>
      <w:r>
        <w:t xml:space="preserve">(2) Jeder Beteiligte und jeder, der ein berechtigtes Interesse darlegt, kann die in Absatz 1 aufgeführten Unterlagen einsehen.</w:t>
      </w:r>
    </w:p>
    <w:p>
      <w:r>
        <w:rPr>
          <w:color w:val="555555"/>
          <w:sz w:val="17"/>
        </w:rPr>
        <w:t xml:space="preserve">Zitiervorschlag: § 150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