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abweisende Entscheidung im Verwaltungsgerichtsverfahren wird ein Pauschsatz erhoben, der unter Berücksichtigung der durch das Verfahren entstandenen baren Auslagen zu berechnen ist. Außerdem kann eine Gebühr festgesetzt werden.</w:t>
      </w:r>
    </w:p>
    <w:p>
      <w:r>
        <w:t xml:space="preserve">(2) Ist die Entscheidung nur zum Teil abweisend, so kann dem anfechtenden Beteiligten ein entsprechender Teil der Kosten nach Absatz 1 auferlegt werden.</w:t>
      </w:r>
    </w:p>
    <w:p>
      <w:r>
        <w:t xml:space="preserve">(3) Wird eine Klage zurückgenommen, so können dem anfechtenden Beteiligten die entstandenen Auslagen auferlegt werden. Ist der Rechtsstreit in der Hauptsache erledigt, dürfen dem anfechtenden Beteiligten nur Auslagen auferlegt werden.</w:t>
      </w:r>
    </w:p>
    <w:p>
      <w:r>
        <w:t xml:space="preserve">(4) Die Vorschriften der Absätze 1 bis 3 gelten sinngemäß für das Widerspruchsverfahren vor der oberen Flurbereinigungsbehörde.</w:t>
      </w:r>
    </w:p>
    <w:p>
      <w:r>
        <w:rPr>
          <w:color w:val="555555"/>
          <w:sz w:val="17"/>
        </w:rPr>
        <w:t xml:space="preserve">Zitiervorschlag: § 147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