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146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der §§ 32 und 59 Abs. 2 gelten folgende Sondervorschriften:</w:t>
      </w:r>
    </w:p>
    <w:p>
      <w:pPr>
        <w:ind w:left="420"/>
      </w:pPr>
      <w:r>
        <w:t xml:space="preserve">1. Das Flurbereinigungsgericht ist an Anträge der Beteiligten nicht gebunden.</w:t>
      </w:r>
    </w:p>
    <w:p>
      <w:pPr>
        <w:ind w:left="420"/>
      </w:pPr>
      <w:r>
        <w:t xml:space="preserve">2. Das Flurbereinigungsgericht hat auch zu prüfen, ob die Flurbereinigungsbehörde oder die obere Flurbereinigungsbehörde in zweckmäßiger Weise von ihrem Ermessen Gebrauch gemacht hat.</w:t>
      </w:r>
    </w:p>
    <w:p>
      <w:r>
        <w:rPr>
          <w:color w:val="555555"/>
          <w:sz w:val="17"/>
        </w:rPr>
        <w:t xml:space="preserve">Zitiervorschlag: § 146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