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kann namens des Flurbereinigungsgerichts die Anfechtungsklage ohne mündliche Verhandlung durch einen mit Gründen versehenen Bescheid abweisen, wenn das Sach- und Rechtsverhältnis genügend geklärt und die Klage offensichtlich unbegründet ist.</w:t>
      </w:r>
    </w:p>
    <w:p>
      <w:r>
        <w:t xml:space="preserve">(2) Die Beteiligten können innerhalb von zwei Wochen nach der Zustellung des Bescheides mündliche Verhandlung beantragen; auf dieses Recht ist im Bescheid hinzuweisen. Wird der Antrag rechtzeitig gestellt, so gilt der Bescheid als nicht ergangen; anderenfalls gilt er als rechtskräftiges Urteil.</w:t>
      </w:r>
    </w:p>
    <w:p>
      <w:r>
        <w:rPr>
          <w:color w:val="555555"/>
          <w:sz w:val="17"/>
        </w:rPr>
        <w:t xml:space="preserve">Zitiervorschlag: § 145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