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Widerspruch können angefochten werden:</w:t>
      </w:r>
    </w:p>
    <w:p>
      <w:pPr>
        <w:ind w:left="420"/>
      </w:pPr>
      <w:r>
        <w:t xml:space="preserve">1. Verwaltungsakte der oberen Flurbereinigungsbehörde und der Flurbereinigungsbehörde bei der oberen Flurbereinigungsbehörde;</w:t>
      </w:r>
    </w:p>
    <w:p>
      <w:pPr>
        <w:ind w:left="420"/>
      </w:pPr>
      <w:r>
        <w:t xml:space="preserve">2. Verwaltungsakte der Teilnehmergemeinschaft bei der Flurbereinigungsbehörde;</w:t>
      </w:r>
    </w:p>
    <w:p>
      <w:pPr>
        <w:ind w:left="420"/>
      </w:pPr>
      <w:r>
        <w:t xml:space="preserve">3. Verwaltungsakte eines Verbandes der Teilnehmergemeinschaften oder eines Gesamtverbandes bei der nach den §§ 26d und 26e für die Aufsicht zuständigen Behörde.</w:t>
      </w:r>
    </w:p>
    <w:p>
      <w:r>
        <w:t xml:space="preserve">§ 59 Abs. 2 bleibt unberührt. § 60 Abs. 1 Satz 3 und 4 gilt entsprechend.</w:t>
      </w:r>
    </w:p>
    <w:p>
      <w:r>
        <w:t xml:space="preserve">(2) Die Länder können bestimmen, daß zu den Entscheidungen über Widersprüche gegen die Ergebnisse der Wertermittlung oder den Flurbereinigungsplan zwei Landwirte ehrenamtlich zuzuziehen sind, für deren Bestellung § 139 Abs. 3 entsprechend anzuwenden ist. Ist eine solche Bestimmung getroffen, entscheidet die Behörde, die den Widerspruchsbescheid zu erlassen hat, nach ihrer freien, aus den gesamten Verhandlungen und Ermittlungen gewonnenen Überzeugung.</w:t>
      </w:r>
    </w:p>
    <w:p>
      <w:r>
        <w:rPr>
          <w:color w:val="555555"/>
          <w:sz w:val="17"/>
        </w:rPr>
        <w:t xml:space="preserve">Zitiervorschlag: § 141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