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Beteiligte, die nicht nach Maßgabe der §§ 12 und 13 ermittelt werden, sind durch öffentliche Bekanntmachung aufzufordern, innerhalb von drei Monaten Rechte, die aus dem Grundbuch nicht ersichtlich sind, aber zur Beteiligung am Flurbereinigungsverfahren berechtigen, bei der Flurbereinigungsbehörde anzumelden. Auf Verlangen der Flurbereinigungsbehörde hat der Anmeldende sein Recht innerhalb einer von der Behörde zu setzenden Frist nachzuweisen. Nach fruchtlosem Ablauf der Frist ist der Anmeldende nicht mehr zu beteiligen.</w:t>
      </w:r>
    </w:p>
    <w:p>
      <w:r>
        <w:t xml:space="preserve">(2) Werden Rechte erst nach Ablauf der in Absatz 1 bezeichneten Fristen angemeldet oder nachgewiesen, so kann die Flurbereinigungsbehörde die bisherigen Verhandlungen und Festsetzungen gelten lassen.</w:t>
      </w:r>
    </w:p>
    <w:p>
      <w:r>
        <w:t xml:space="preserve">(3) Der Inhaber eines in Absatz 1 bezeichneten Rechts muß die Wirkung eines vor der Anmeldung eingetretenen Fristablaufs ebenso gegen sich gelten lassen wie der Beteiligte, demgegenüber die Frist durch Bekanntgabe des Verwaltungsaktes zuerst in Lauf gesetzt worden ist.</w:t>
      </w:r>
    </w:p>
    <w:p>
      <w:r>
        <w:t xml:space="preserve">(4) Auf die rechtlichen Wirkungen nach den Absätzen 2 und 3 ist in der Bekanntmachung hinzuweisen.</w:t>
      </w:r>
    </w:p>
    <w:p>
      <w:r>
        <w:rPr>
          <w:color w:val="555555"/>
          <w:sz w:val="17"/>
        </w:rPr>
        <w:t xml:space="preserve">Zitiervorschlag: § 14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