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In jedem Land ist bei dem obersten Verwaltungsgericht ein Senat für Flurbereinigung (Flurbereinigungsgericht) einzurichten. Für die Gerichtsverfassung und das Verfahren gelten die Vorschriften über die Verwaltungsgerichtsbarkeit, soweit in den §§ 139 bis 148 nichts Abweichendes bestimmt ist.</w:t>
      </w:r>
    </w:p>
    <w:p>
      <w:r>
        <w:t xml:space="preserve">(2) Mehrere Länder können durch Staatsvertrag ein gemeinschaftliches Flurbereinigungsgericht einrichten. In den Ländern Bremen und Hamburg können die Aufgaben des Flurbereinigungsgerichts auf ein anderes Gericht übertragen werden.</w:t>
      </w:r>
    </w:p>
    <w:p>
      <w:r>
        <w:rPr>
          <w:color w:val="555555"/>
          <w:sz w:val="17"/>
        </w:rPr>
        <w:t xml:space="preserve">Zitiervorschlag: § 138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