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Mit Zwangsmitteln können durchgesetzt werden:</w:t>
      </w:r>
    </w:p>
    <w:p>
      <w:pPr>
        <w:ind w:left="420"/>
      </w:pPr>
      <w:r>
        <w:t xml:space="preserve">1. Verwaltungsakte der Flurbereinigungsbehörde, der oberen Flurbereinigungsbehörde, der Teilnehmergemeinschaft und des Verbandes (§§ 26a und 26e);</w:t>
      </w:r>
    </w:p>
    <w:p>
      <w:pPr>
        <w:ind w:left="420"/>
      </w:pPr>
      <w:r>
        <w:t xml:space="preserve">2. in eine Verhandlungsniederschrift dieser Behörden, der Teilnehmergemeinschaft oder des Verbandes (§§ 26a und 26e) aufgenommene Verpflichtungserklärungen und Vereinbarungen.</w:t>
      </w:r>
    </w:p>
    <w:p>
      <w:r>
        <w:t xml:space="preserve">Die §§ 6 bis 18 VwVG gelten entsprechend. Vollzugsbehörde im Sinne des § 7 VwVG ist die Flurbereinigungsbehörde.</w:t>
      </w:r>
    </w:p>
    <w:p>
      <w:r>
        <w:t xml:space="preserve">(2) Kommt die Teilnehmergemeinschaft oder der Verband einer im Rahmen ihrer Befugnisse (§ 17 Abs. 1, §§ 26d und 26e Abs. 7) getroffenen Anordnung der Aufsichtsbehörde nicht nach, so können gegen sie die in den §§ 10 und 12 VwVG genannten Zwangsmittel angewendet werden.</w:t>
      </w:r>
    </w:p>
    <w:p>
      <w:r>
        <w:rPr>
          <w:color w:val="555555"/>
          <w:sz w:val="17"/>
        </w:rPr>
        <w:t xml:space="preserve">Zitiervorschlag: § 137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