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Vollstreckung von Geldforderungen sind die §§ 1 bis 5 des Verwaltungs-Vollstreckungsgesetzes (VwVG) vom 27. April 1953 (Bundesgesetzblatt I S. 157), zuletzt geändert durch das Einführungsgesetz zum Strafgesetzbuch vom 2. März 1974 (Bundesgesetzbl. I S. 469), sinngemäß anzuwenden. Geldforderungen der Teilnehmergemeinschaft werden im Verwaltungszwangsverfahren wie Gemeindeabgaben vollstreckt.</w:t>
      </w:r>
    </w:p>
    <w:p>
      <w:r>
        <w:t xml:space="preserve">(2) Vollstreckungsbehörde für Vollstreckungsmaßnahmen nach Absatz 1 ist die Flurbereinigungsbehörde.</w:t>
      </w:r>
    </w:p>
    <w:p>
      <w:r>
        <w:rPr>
          <w:color w:val="555555"/>
          <w:sz w:val="17"/>
        </w:rPr>
        <w:t xml:space="preserve">Zitiervorschlag: § 136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