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Versäumt ein Beteiligter einen Termin oder erklärt er sich nicht bis zum Schluß des Termins über den Verhandlungsgegenstand, so wird angenommen, daß er mit dem Ergebnis der Verhandlung einverstanden ist; hierauf ist der Beteiligte in der Ladung oder im Termin hinzuweisen.</w:t>
      </w:r>
    </w:p>
    <w:p>
      <w:r>
        <w:t xml:space="preserve">(2) Die Flurbereinigungsbehörde kann nach Lage des einzelnen Falles spätere Erklärungen trotz Versäumung zulassen. Sie muß dies tun, wenn bei unverschuldeter Versäumung Erklärungen unverzüglich nach Behebung des Hindernisses nachgeholt werden.</w:t>
      </w:r>
    </w:p>
    <w:p>
      <w:r>
        <w:t xml:space="preserve">(3) Die Vorschriften des Absatzes 2 gelten entsprechend, wenn Widersprüche oder Anträge trotz Versäumung einer gesetzlichen Frist vorgebracht werden.</w:t>
      </w:r>
    </w:p>
    <w:p>
      <w:r>
        <w:t xml:space="preserve">(4) Das Verschulden eines Vertreters oder Bevollmächtigten steht dem eigenen Verschulden des Vertretenen gleich.</w:t>
      </w:r>
    </w:p>
    <w:p>
      <w:r>
        <w:rPr>
          <w:color w:val="555555"/>
          <w:sz w:val="17"/>
        </w:rPr>
        <w:t xml:space="preserve">Zitiervorschlag: § 134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