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132 FlurbG</w:t>
      </w:r>
    </w:p>
    <w:p>
      <w:r>
        <w:rPr>
          <w:color w:val="555555"/>
          <w:sz w:val="18"/>
        </w:rPr>
        <w:t xml:space="preserve">Flurbereinigungsgesetz</w:t>
      </w:r>
    </w:p>
    <w:p>
      <w:r>
        <w:rPr>
          <w:color w:val="555555"/>
          <w:sz w:val="18"/>
        </w:rPr>
        <w:t xml:space="preserve">Stand: 10.06.2019 (konsolidierte Textfassung, kein amtliches Inkrafttretensdatum)</w:t>
      </w:r>
    </w:p>
    <w:p>
      <w:r>
        <w:t xml:space="preserve">Schreibfehler, Rechenfehler und ähnliche offenbare Unrichtigkeiten in Verhandlungsniederschriften, im Flurbereinigungsplan, in Anordnungen, Beschlüssen und Bescheiden können von Amts wegen berichtigt werden. Dies gilt auch für solche unerheblichen Fehler im Flurbereinigungsplan, die auf unrichtigen Vermessungsunterlagen beruhen.</w:t>
      </w:r>
    </w:p>
    <w:p>
      <w:r>
        <w:rPr>
          <w:color w:val="555555"/>
          <w:sz w:val="17"/>
        </w:rPr>
        <w:t xml:space="preserve">Zitiervorschlag: § 132 FlurbG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https://recht.nulegal.eu/gesetze/FlurbG/132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