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Verhandlungen ist eine Niederschrift aufzunehmen. Sie soll den wesentlichen Hergang der Verhandlungen enthalten.</w:t>
      </w:r>
    </w:p>
    <w:p>
      <w:r>
        <w:t xml:space="preserve">(2) Der Aufnahme in die Verhandlungsniederschrift steht die Aufnahme in eine Schrift gleich, die ihr als Anlage beigefügt und als solche bezeichnet ist. Auf die Anlage ist in der Niederschrift hinzuweisen.</w:t>
      </w:r>
    </w:p>
    <w:p>
      <w:r>
        <w:rPr>
          <w:color w:val="555555"/>
          <w:sz w:val="17"/>
        </w:rPr>
        <w:t xml:space="preserve">Zitiervorschlag: § 129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