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Wohnen Beteiligte außerhalb des Gebietes der Flurbereinigungs- oder der angrenzenden Gemeinden und haben sie keinen in diesen Gemeinden wohnenden Bevollmächtigten bestellt, so müssen sie auf Anordnung der Flurbereinigungsbehörde innerhalb angemessener Frist eine im Gebiet der Flurbereinigungs- oder der angrenzenden Gemeinden wohnende Person zum Empfang der für sie bestimmten Ladungen und anderen Mitteilungen bevollmächtigen und der Flurbereinigungsbehörde benennen (Empfangsbevollmächtigter). In der Anordnung ist auf die Folgen der unterbliebenen Benennung (Absatz 2) hinzuweisen.</w:t>
      </w:r>
    </w:p>
    <w:p>
      <w:r>
        <w:t xml:space="preserve">(2) Solange der Anordnung nicht entsprochen wird, kann die Flurbereinigungsbehörde Ladungen und andere Mitteilungen durch Aufgabe zur Post zustellen. Die Zustellung wird mit Ablauf einer Woche nach der Aufgabe zur Post als bewirkt angesehen, selbst wenn die Sendung als unbestellbar zurückkommt.</w:t>
      </w:r>
    </w:p>
    <w:p>
      <w:r>
        <w:rPr>
          <w:color w:val="555555"/>
          <w:sz w:val="17"/>
        </w:rPr>
        <w:t xml:space="preserve">Zitiervorschlag: § 127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