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126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Vollmacht erlischt nicht durch den Tod des Vollmachtgebers oder durch eine Veränderung in seiner Geschäftsfähigkeit oder seiner gesetzlichen Vertretung.</w:t>
      </w:r>
    </w:p>
    <w:p>
      <w:r>
        <w:t xml:space="preserve">(2) Widerruft der zum Widerruf Berechtigte die Vollmacht, so wird das Erlöschen der Vollmacht erst durch Anzeige an die Flurbereinigungsbehörde rechtswirksam.</w:t>
      </w:r>
    </w:p>
    <w:p>
      <w:r>
        <w:t xml:space="preserve">(3) Der Bevollmächtigte wird durch die von seiner Seite erfolgte Kündigung nicht gehindert, für den Vollmachtgeber so lange zu handeln, bis dieser für Wahrnehmung seiner Rechte in anderer Weise gesorgt hat.</w:t>
      </w:r>
    </w:p>
    <w:p>
      <w:r>
        <w:rPr>
          <w:color w:val="555555"/>
          <w:sz w:val="17"/>
        </w:rPr>
        <w:t xml:space="preserve">Zitiervorschlag: § 126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