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für die Flurbereinigung erteilte Vollmacht ermächtigt zu allen das Verfahren betreffenden Handlungen, zur Bestellung eines Vertreters für einzelne Handlungen, zum Abschluß von Vereinbarungen, zur Übernahme von Verpflichtungen, zum Verzicht auf eine Sache oder ein Recht, sofern sich aus dem Inhalt der Vollmacht nichts anderes ergibt.</w:t>
      </w:r>
    </w:p>
    <w:p>
      <w:r>
        <w:t xml:space="preserve">(2) Die nach den §§ 13 oder 119 bestellten Vertreter sind zu allen Handlungen nach Absatz 1 ermächtigt.</w:t>
      </w:r>
    </w:p>
    <w:p>
      <w:r>
        <w:rPr>
          <w:color w:val="555555"/>
          <w:sz w:val="17"/>
        </w:rPr>
        <w:t xml:space="preserve">Zitiervorschlag: § 125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