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Bevollmächtigte hat sich durch eine schriftliche Vollmacht auszuweisen und sie der Flurbereinigungsbehörde oder der oberen Flurbereinigungsbehörde auf Anordnung zu übergeben.</w:t>
      </w:r>
    </w:p>
    <w:p>
      <w:r>
        <w:t xml:space="preserve">(2) Auf Verlangen der Flurbereinigungsbehörde oder der oberen Flurbereinigungsbehörde muß die Unterschrift öffentlich oder amtlich beglaubigt werden.</w:t>
      </w:r>
    </w:p>
    <w:p>
      <w:r>
        <w:rPr>
          <w:color w:val="555555"/>
          <w:sz w:val="17"/>
        </w:rPr>
        <w:t xml:space="preserve">Zitiervorschlag: § 123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