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Ordnung bei den Verhandlungen wahrt der Verhandlungsleiter.</w:t>
      </w:r>
    </w:p>
    <w:p>
      <w:r>
        <w:t xml:space="preserve">(2) Er kann Personen, die seine Anordnungen zur Wahrung der Ordnung nicht befolgen, vom Verhandlungsort entfernen lassen.</w:t>
      </w:r>
    </w:p>
    <w:p>
      <w:r>
        <w:t xml:space="preserve">(3) Gegen Personen, die sich einer Ungebühr schuldig machen oder seine Anordnungen zur Wahrung der Ordnung nicht befolgen, kann er vorbehaltlich der strafrechtlichen Verfolgung ein Ordnungsgeld festsetzen.</w:t>
      </w:r>
    </w:p>
    <w:p>
      <w:r>
        <w:t xml:space="preserve">(4) Die Entfernung von Personen, die Festsetzung eines Ordnungsgeldes und ihr Anlaß sind in die Verhandlungsniederschrift aufzunehmen.</w:t>
      </w:r>
    </w:p>
    <w:p>
      <w:r>
        <w:rPr>
          <w:color w:val="555555"/>
          <w:sz w:val="17"/>
        </w:rPr>
        <w:t xml:space="preserve">Zitiervorschlag: § 117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