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114 FlurbG</w:t>
      </w:r>
    </w:p>
    <w:p>
      <w:r>
        <w:rPr>
          <w:color w:val="555555"/>
          <w:sz w:val="18"/>
        </w:rPr>
        <w:t xml:space="preserve">Flurbereinigungsgesetz</w:t>
      </w:r>
    </w:p>
    <w:p>
      <w:r>
        <w:rPr>
          <w:color w:val="555555"/>
          <w:sz w:val="18"/>
        </w:rPr>
        <w:t xml:space="preserve">Stand: 10.06.2019 (konsolidierte Textfassung, kein amtliches Inkrafttretensdatum)</w:t>
      </w:r>
    </w:p>
    <w:p>
      <w:r>
        <w:t xml:space="preserve">(1) In den Ladungen muß auf den Gegenstand der Verhandlung und die gesetzlichen Folgen des Ausbleibens hingewiesen werden.</w:t>
      </w:r>
    </w:p>
    <w:p>
      <w:r>
        <w:t xml:space="preserve">(2) Zwischen der Bekanntgabe der Ladung und dem Terminstage muß, soweit dieses Gesetz nichts anderes bestimmt, eine Frist von einer Woche liegen. Erfolgt eine Ladung durch öffentliche Bekanntmachung, so beträgt die Ladungsfrist zwei Wochen.</w:t>
      </w:r>
    </w:p>
    <w:p>
      <w:r>
        <w:t xml:space="preserve">(3) Die Beteiligten können auf die Einhaltung der gesetzlichen Ladungsfristen und der anderen Vorschriften für die Ladung verzichten. Als Verzicht gilt es, wenn ein Beteiligter im Termin erscheint und nicht vor der Verhandlung über seine Sache den Mangel rügt.</w:t>
      </w:r>
    </w:p>
    <w:p>
      <w:r>
        <w:rPr>
          <w:color w:val="555555"/>
          <w:sz w:val="17"/>
        </w:rPr>
        <w:t xml:space="preserve">Zitiervorschlag: § 114 FlurbG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https://recht.nulegal.eu/gesetze/FlurbG/114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