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Ladungen und andere Mitteilungen können, soweit dieses Gesetz nichts anderes bestimmt, in jeder Form bekanntgegeben werden. Sollen Ladungen und andere Mitteilungen in Flurbereinigungs- oder angrenzenden Gemeinden mehreren Beteiligten bekanntgegeben werden, so kann die Bekanntgabe, soweit dieses Gesetz nichts anderes bestimmt, durch öffentliche Bekanntmachung erfolgen.</w:t>
      </w:r>
    </w:p>
    <w:p>
      <w:r>
        <w:t xml:space="preserve">(2) Die Bekanntgabe ist urkundlich nachzuweisen, wenn die Ladung oder Mitteilung eine Frist in Lauf setzt oder Rechtsfolgen an ihre Nichtbeachtung geknüpft werden sollen.</w:t>
      </w:r>
    </w:p>
    <w:p>
      <w:r>
        <w:t xml:space="preserve">(3) Bekanntgaben an Körperschaften des öffentlichen Rechts sollen außerdem schriftlich erfolgen.</w:t>
      </w:r>
    </w:p>
    <w:p>
      <w:r>
        <w:rPr>
          <w:color w:val="555555"/>
          <w:sz w:val="17"/>
        </w:rPr>
        <w:t xml:space="preserve">Zitiervorschlag: § 111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