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108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Geschäfte und Verhandlungen, die der Durchführung der Flurbereinigung dienen, einschließlich der Berichtigung der öffentlichen Bücher, sind frei von Gebühren, Steuern, Kosten und Abgaben; hiervon unberührt bleiben Regelungen hinsichtlich der Gebühren, Kosten und Abgaben, die auf landesrechtlichen Vorschriften beruhen.</w:t>
      </w:r>
    </w:p>
    <w:p>
      <w:r>
        <w:t xml:space="preserve">(2) Die Gebühren-, Steuer-, Kosten- und Abgabefreiheit ist von der zuständigen Behörde ohne Nachprüfung anzuerkennen, wenn die Flurbereinigungsbehörde versichert, daß ein Geschäft oder eine Verhandlung der Durchführung der Flurbereinigung dient.</w:t>
      </w:r>
    </w:p>
    <w:p>
      <w:r>
        <w:t xml:space="preserve">(3) Die Absätze 1 und 2 gelten nicht für die Grunderwerbsteuer.</w:t>
      </w:r>
    </w:p>
    <w:p>
      <w:r>
        <w:rPr>
          <w:color w:val="555555"/>
          <w:sz w:val="17"/>
        </w:rPr>
        <w:t xml:space="preserve">Zitiervorschlag: § 108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