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107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(1) Ist die Erledigung eines Antrages zur Durchführung des Flurbereinigungsverfahrens nicht erforderlich, so trägt der Antragsteller die Kosten. Die Flurbereinigungsbehörde setzt den zu erhebenden Kostenbetrag unter Berücksichtigung der wirklich erwachsenen Kosten fest. Sie kann von dem Kostenpflichtigen einen Vorschuß erheben, der nach der Höhe der voraussichtlich entstehenden Kosten zu bemessen ist; wird der Vorschuß nicht innerhalb der von der Flurbereinigungsbehörde bestimmten Frist bezahlt, so kann der Antrag zurückgewiesen werden.</w:t>
      </w:r>
    </w:p>
    <w:p>
      <w:r>
        <w:t xml:space="preserve">(2) Kosten, die durch Vereitelung von Terminen oder anderen zur Durchführung des Verfahrens erforderlichen Maßnahmen sowie durch Versäumung (§ 134) verursacht werden, können dem zur Last gelegt werden, der sie verschuldet hat.</w:t>
      </w:r>
    </w:p>
    <w:p>
      <w:r>
        <w:rPr>
          <w:color w:val="555555"/>
          <w:sz w:val="17"/>
        </w:rPr>
        <w:t xml:space="preserve">Zitiervorschlag: § 107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https://recht.nulegal.eu/gesetze/FlurbG/107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