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103b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(1) Der freiwillige Landtausch ist ein durch die Flurbereinigungsbehörde geleitetes Verfahren, in dem im Einverständnis der betroffenen Rechtsinhaber ländliche Grundstücke getauscht werden. Auf den freiwilligen Landtausch finden die Vorschriften über die Flurbereinigung sinngemäß Anwendung, soweit sich nicht aus dem Zweck des freiwilligen Landtausches und den §§ 103c bis 103i Abweichungen ergeben.</w:t>
      </w:r>
    </w:p>
    <w:p>
      <w:r>
        <w:t xml:space="preserve">(2) Die Vorschriften über die Teilnehmergemeinschaft (§§ 16 bis 26), über das Wertermittlungsverfahren (§§ 27 bis 33), über die Grundsätze für die Abfindung (§§ 44 bis 55) und über die vorläufige Besitzeinweisung (§ 65) sowie über die Vertreterbestellung (§ 119) gelten nicht.</w:t>
      </w:r>
    </w:p>
    <w:p>
      <w:r>
        <w:rPr>
          <w:color w:val="555555"/>
          <w:sz w:val="17"/>
        </w:rPr>
        <w:t xml:space="preserve">Zitiervorschlag: § 103b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https://recht.nulegal.eu/gesetze/FlurbG/103b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