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103a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ländliche Grundstücke zur Verbesserung der Agrarstruktur in einem schnellen und einfachen Verfahren neu zu ordnen, kann ein freiwilliger Landtausch durchgeführt werden.</w:t>
      </w:r>
    </w:p>
    <w:p>
      <w:r>
        <w:t xml:space="preserve">(2) Der freiwillige Landtausch kann auch aus Gründen des Naturschutzes und der Landschaftspflege durchgeführt werden.</w:t>
      </w:r>
    </w:p>
    <w:p>
      <w:r>
        <w:rPr>
          <w:color w:val="555555"/>
          <w:sz w:val="17"/>
        </w:rPr>
        <w:t xml:space="preserve">Zitiervorschlag: § 103a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