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Bayerische Gesetz über die Zusammenlegung von landwirtschaftlichen Grundstücken (Arrondierungsgesetz) in der Fassung der Bekanntmachung vom 11. August 1954 (Bayerisches Gesetz- und Verordnungsblatt S. 169) und die Zweite Verordnung des Staatsministeriums des Landes Württemberg-Hohenzollern zur Durchführung des Bodenreformgesetzes (Agrarreformverordnung) vom 16. Dezember 1949 (Regierungsblatt für das Land Württemberg-Hohenzollern 1950 S. 7), geändert durch das Landesjustizkostengesetz vom 30. März 1971 (Gesetzblatt für Baden-Württemberg S. 96), bleiben unberührt.</w:t>
      </w:r>
    </w:p>
    <w:p>
      <w:r>
        <w:rPr>
          <w:color w:val="555555"/>
          <w:sz w:val="17"/>
        </w:rPr>
        <w:t xml:space="preserve">Zitiervorschlag: § 103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