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FlurbEntVO (Sachsen)</w:t>
      </w:r>
    </w:p>
    <w:p>
      <w:r>
        <w:rPr>
          <w:color w:val="555555"/>
          <w:sz w:val="18"/>
        </w:rPr>
        <w:t xml:space="preserve">Flurbereinigungsbeisitzer-Entschädigungsverordnung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27a des Verwaltungskostengesetzes des Freistaates Sachsen in der Fassung der Bekanntmachung vom 17. September 2003 (SächsGVBl. S. 698), der durch Artikel 6 des Gesetzes vom 5. Mai 2008 (SächsGVBl. S. 302) geändert worden ist, verordnet das Staatsministerium für Umwelt und Landwirtschaft im Einvernehmen mit dem Staatsministerium der Finanzen:</w:t>
      </w:r>
    </w:p>
    <w:p>
      <w:r>
        <w:rPr>
          <w:color w:val="555555"/>
          <w:sz w:val="17"/>
        </w:rPr>
        <w:t xml:space="preserve">Zitiervorschlag: Eingangsformel FlurbEntVO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https://recht.nulegal.eu/gesetze/FlurbEntVO/eingangsformel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