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FlurbEntVO (Sachsen) — Inkrafttreten, Außerkrafttreten</w:t>
      </w:r>
    </w:p>
    <w:p>
      <w:r>
        <w:rPr>
          <w:color w:val="555555"/>
          <w:sz w:val="18"/>
        </w:rPr>
        <w:t xml:space="preserve">Flurbereinigungsbeisitzer-Entschädigungsverordnung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 nach der Verkündung in Kraft. Gleichzeitig tritt die Verordnung des Sächsischen Staatsministeriums für Umwelt und Landwirtschaft über die Entschädigung der ehrenamtlichen Beisitzer der Widerspruchsausschüsse bei den oberen Flurbereinigungsbehörden vom 13. Dezember 2002 (SächsGVBl. 2003 S. 22), die zuletzt durch die Verordnung vom 26. Juni 2008 (SächsGVBl. S. 451) geändert worden ist, außer Kraft.</w:t>
      </w:r>
    </w:p>
    <w:p>
      <w:r>
        <w:t xml:space="preserve">Dresden, den 9. April 2019</w:t>
      </w:r>
    </w:p>
    <w:p>
      <w:r>
        <w:t xml:space="preserve">Der Staatsminister für Umwelt und Landwirtschaft</w:t>
      </w:r>
    </w:p>
    <w:p>
      <w:r>
        <w:t xml:space="preserve">Thomas Schmidt</w:t>
      </w:r>
    </w:p>
    <w:p>
      <w:r>
        <w:rPr>
          <w:color w:val="555555"/>
          <w:sz w:val="17"/>
        </w:rPr>
        <w:t xml:space="preserve">Zitiervorschlag: § 4 FlurbEntVO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https://recht.nulegal.eu/gesetze/FlurbEntVO/4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