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FlurbEntVO (Sachsen) — Reisekostenvergütung</w:t>
      </w:r>
    </w:p>
    <w:p>
      <w:r>
        <w:rPr>
          <w:color w:val="555555"/>
          <w:sz w:val="18"/>
        </w:rPr>
        <w:t xml:space="preserve">Flurbereinigungsbeisitzer-Entschädigungsverordnung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Art und Umfang der Reisekostenvergütung richten sich nach den Bestimmungen des Sächsischen Reisekostengesetzes vom 12. Dezember 2008 (SächsGVBl. S. 866, 876), das zuletzt durch das Gesetz vom 17. Mai 2023 (SächsGVBl. S. 246) geändert worden ist, in der jeweils geltenden Fassung.</w:t>
      </w:r>
    </w:p>
    <w:p>
      <w:r>
        <w:rPr>
          <w:color w:val="555555"/>
          <w:sz w:val="17"/>
        </w:rPr>
        <w:t xml:space="preserve">Zitiervorschlag: § 2 FlurbEntVO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https://recht.nulegal.eu/gesetze/FlurbEntVO/2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